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25" w:rsidRPr="004D0346" w:rsidRDefault="00B42E25" w:rsidP="007970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D0346">
        <w:rPr>
          <w:rFonts w:ascii="Times New Roman" w:hAnsi="Times New Roman"/>
          <w:sz w:val="28"/>
          <w:szCs w:val="28"/>
        </w:rPr>
        <w:t>VŠĮ KAUNO REGIONO ATLIEKŲ TVARKYMO CENTRAS</w:t>
      </w:r>
    </w:p>
    <w:p w:rsidR="00B42E25" w:rsidRDefault="00846563" w:rsidP="007970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PAPILDYTAS 2016-08-01 </w:t>
      </w:r>
      <w:r w:rsidR="004D0346" w:rsidRPr="004D0346">
        <w:rPr>
          <w:rFonts w:ascii="Times New Roman" w:hAnsi="Times New Roman"/>
          <w:sz w:val="28"/>
          <w:szCs w:val="28"/>
        </w:rPr>
        <w:t>PRIEMONIŲ PLANAS</w:t>
      </w:r>
    </w:p>
    <w:p w:rsidR="00933D3C" w:rsidRPr="004D0346" w:rsidRDefault="00933D3C" w:rsidP="007970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(aktualus 2017-0</w:t>
      </w:r>
      <w:r w:rsidR="00254B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254B5B">
        <w:rPr>
          <w:rFonts w:ascii="Times New Roman" w:hAnsi="Times New Roman"/>
          <w:sz w:val="28"/>
          <w:szCs w:val="28"/>
        </w:rPr>
        <w:t>1</w:t>
      </w:r>
      <w:r w:rsidR="00D34E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4D0346" w:rsidRDefault="004D0346" w:rsidP="004D034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:rsidR="00797013" w:rsidRDefault="00797013" w:rsidP="004D034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9"/>
        <w:gridCol w:w="4413"/>
        <w:gridCol w:w="1276"/>
        <w:gridCol w:w="1559"/>
        <w:gridCol w:w="7371"/>
      </w:tblGrid>
      <w:tr w:rsidR="00761699" w:rsidRPr="003F255A" w:rsidTr="004F0926">
        <w:tc>
          <w:tcPr>
            <w:tcW w:w="549" w:type="dxa"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3" w:type="dxa"/>
          </w:tcPr>
          <w:p w:rsidR="00761699" w:rsidRPr="003F255A" w:rsidRDefault="00761699" w:rsidP="003F2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Uždaviniai/priemonės</w:t>
            </w:r>
          </w:p>
        </w:tc>
        <w:tc>
          <w:tcPr>
            <w:tcW w:w="1276" w:type="dxa"/>
          </w:tcPr>
          <w:p w:rsidR="00761699" w:rsidRPr="003F255A" w:rsidRDefault="00761699" w:rsidP="003F2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255A">
              <w:rPr>
                <w:rFonts w:ascii="Times New Roman" w:hAnsi="Times New Roman"/>
                <w:b/>
              </w:rPr>
              <w:t>Statusas</w:t>
            </w:r>
          </w:p>
        </w:tc>
        <w:tc>
          <w:tcPr>
            <w:tcW w:w="1559" w:type="dxa"/>
          </w:tcPr>
          <w:p w:rsidR="00761699" w:rsidRPr="003F255A" w:rsidRDefault="00761699" w:rsidP="006007D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3F255A">
              <w:rPr>
                <w:rFonts w:ascii="Times New Roman" w:hAnsi="Times New Roman"/>
                <w:b/>
              </w:rPr>
              <w:t>erminas</w:t>
            </w:r>
          </w:p>
        </w:tc>
        <w:tc>
          <w:tcPr>
            <w:tcW w:w="7371" w:type="dxa"/>
          </w:tcPr>
          <w:p w:rsidR="00761699" w:rsidRPr="003F255A" w:rsidRDefault="00761699" w:rsidP="003F2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Papildoma informacija</w:t>
            </w:r>
          </w:p>
        </w:tc>
      </w:tr>
      <w:tr w:rsidR="00E9024F" w:rsidRPr="003F255A" w:rsidTr="008366FA">
        <w:tc>
          <w:tcPr>
            <w:tcW w:w="15168" w:type="dxa"/>
            <w:gridSpan w:val="5"/>
            <w:shd w:val="clear" w:color="auto" w:fill="D9D9D9" w:themeFill="background1" w:themeFillShade="D9"/>
          </w:tcPr>
          <w:p w:rsidR="00E9024F" w:rsidRPr="003F255A" w:rsidRDefault="00E9024F" w:rsidP="0002617C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Techninio gedimo</w:t>
            </w:r>
            <w:r w:rsidRPr="003F255A">
              <w:rPr>
                <w:rFonts w:ascii="Times New Roman" w:hAnsi="Times New Roman"/>
              </w:rPr>
              <w:t xml:space="preserve"> priežasčių ir pasekmių likvidavimas:</w:t>
            </w:r>
          </w:p>
        </w:tc>
      </w:tr>
      <w:tr w:rsidR="00761699" w:rsidRPr="003F255A" w:rsidTr="004F0926">
        <w:tc>
          <w:tcPr>
            <w:tcW w:w="549" w:type="dxa"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13" w:type="dxa"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Nustatyti neigiamų kvapų šaltinius/kilmę.</w:t>
            </w:r>
          </w:p>
        </w:tc>
        <w:tc>
          <w:tcPr>
            <w:tcW w:w="1276" w:type="dxa"/>
          </w:tcPr>
          <w:p w:rsidR="00761699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Atlikta/</w:t>
            </w:r>
          </w:p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Vykdoma</w:t>
            </w:r>
          </w:p>
        </w:tc>
        <w:tc>
          <w:tcPr>
            <w:tcW w:w="1559" w:type="dxa"/>
            <w:vMerge w:val="restart"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 </w:t>
            </w:r>
            <w:r w:rsidRPr="003F255A">
              <w:rPr>
                <w:rFonts w:ascii="Times New Roman" w:hAnsi="Times New Roman"/>
              </w:rPr>
              <w:t>2016 m. birželio mėn.</w:t>
            </w:r>
          </w:p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Nuolat</w:t>
            </w:r>
          </w:p>
        </w:tc>
        <w:tc>
          <w:tcPr>
            <w:tcW w:w="7371" w:type="dxa"/>
            <w:vMerge w:val="restart"/>
          </w:tcPr>
          <w:p w:rsidR="00761699" w:rsidRPr="003F255A" w:rsidRDefault="00761699" w:rsidP="00600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Vykdomas padidintas automatinio oro valymo įrenginių stebėjimas ir priežiūra.</w:t>
            </w:r>
          </w:p>
        </w:tc>
      </w:tr>
      <w:tr w:rsidR="00761699" w:rsidRPr="003F255A" w:rsidTr="004F0926">
        <w:tc>
          <w:tcPr>
            <w:tcW w:w="549" w:type="dxa"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F255A">
              <w:rPr>
                <w:rFonts w:ascii="Times New Roman" w:hAnsi="Times New Roman"/>
              </w:rPr>
              <w:t>2.</w:t>
            </w:r>
          </w:p>
        </w:tc>
        <w:tc>
          <w:tcPr>
            <w:tcW w:w="4413" w:type="dxa"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Patikrinti įrenginių kontrolės/matavimo prietaisų funkcionavimą. Nustačius netinkamą funkcionavimą, atlikti atstatymą/remontą/keitimą.</w:t>
            </w:r>
          </w:p>
        </w:tc>
        <w:tc>
          <w:tcPr>
            <w:tcW w:w="1276" w:type="dxa"/>
          </w:tcPr>
          <w:p w:rsidR="00761699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Atlikta/</w:t>
            </w:r>
          </w:p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Vykdoma</w:t>
            </w:r>
          </w:p>
        </w:tc>
        <w:tc>
          <w:tcPr>
            <w:tcW w:w="1559" w:type="dxa"/>
            <w:vMerge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Merge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699" w:rsidRPr="003F255A" w:rsidTr="004F0926">
        <w:tc>
          <w:tcPr>
            <w:tcW w:w="549" w:type="dxa"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413" w:type="dxa"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Patikrinti biologiškai apdorojamos medžiagos parametrus (temperatūra, drėgmė) atskiruose kompostavimo etapuose. Nustačius neatitikimą, identifikuoti priežastis ir jas pašalinti.</w:t>
            </w:r>
          </w:p>
        </w:tc>
        <w:tc>
          <w:tcPr>
            <w:tcW w:w="1276" w:type="dxa"/>
          </w:tcPr>
          <w:p w:rsidR="00761699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Atlikta/</w:t>
            </w:r>
          </w:p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Vykdoma</w:t>
            </w:r>
          </w:p>
        </w:tc>
        <w:tc>
          <w:tcPr>
            <w:tcW w:w="1559" w:type="dxa"/>
            <w:vMerge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Merge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699" w:rsidRPr="003F255A" w:rsidTr="004F0926">
        <w:tc>
          <w:tcPr>
            <w:tcW w:w="549" w:type="dxa"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413" w:type="dxa"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Patikrinti technologinės ventiliacijos ventiliatorių funkcionavimą ir darbo režimus. Nustačius neatitikimus atlikti atstatymą/remontą/keitimą ir atstatymą į projektinį režimą.</w:t>
            </w:r>
          </w:p>
        </w:tc>
        <w:tc>
          <w:tcPr>
            <w:tcW w:w="1276" w:type="dxa"/>
          </w:tcPr>
          <w:p w:rsidR="00761699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Atlikta/</w:t>
            </w:r>
          </w:p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  <w:r w:rsidRPr="003F255A">
              <w:rPr>
                <w:rFonts w:ascii="Times New Roman" w:hAnsi="Times New Roman"/>
              </w:rPr>
              <w:t>Vykdoma</w:t>
            </w:r>
          </w:p>
        </w:tc>
        <w:tc>
          <w:tcPr>
            <w:tcW w:w="1559" w:type="dxa"/>
            <w:vMerge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Merge/>
          </w:tcPr>
          <w:p w:rsidR="00761699" w:rsidRPr="003F255A" w:rsidRDefault="00761699" w:rsidP="003F2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24F" w:rsidRPr="003F255A" w:rsidTr="008366FA">
        <w:tc>
          <w:tcPr>
            <w:tcW w:w="15168" w:type="dxa"/>
            <w:gridSpan w:val="5"/>
            <w:shd w:val="clear" w:color="auto" w:fill="D9D9D9" w:themeFill="background1" w:themeFillShade="D9"/>
          </w:tcPr>
          <w:p w:rsidR="00E9024F" w:rsidRPr="003F255A" w:rsidRDefault="00E9024F" w:rsidP="00C75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Nuolatinis technologinio proceso monitoringas.</w:t>
            </w:r>
          </w:p>
        </w:tc>
      </w:tr>
      <w:tr w:rsidR="00761699" w:rsidRPr="003F255A" w:rsidTr="004F0926">
        <w:tc>
          <w:tcPr>
            <w:tcW w:w="549" w:type="dxa"/>
          </w:tcPr>
          <w:p w:rsidR="00761699" w:rsidRDefault="00761699" w:rsidP="00920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413" w:type="dxa"/>
          </w:tcPr>
          <w:p w:rsidR="00761699" w:rsidRPr="00534E8E" w:rsidRDefault="00761699" w:rsidP="0002617C">
            <w:pPr>
              <w:spacing w:after="0" w:line="240" w:lineRule="auto"/>
              <w:rPr>
                <w:rFonts w:ascii="Times New Roman" w:hAnsi="Times New Roman"/>
              </w:rPr>
            </w:pPr>
            <w:r w:rsidRPr="00534E8E">
              <w:rPr>
                <w:rFonts w:ascii="Times New Roman" w:hAnsi="Times New Roman"/>
              </w:rPr>
              <w:t>Atlikti nuolatinį analitinį įrenginių darbo monitoringą, analizuojant mikrobiologinių ir cheminių procesų veiklą, teisingą jų automatinį valdymą SCADA sistemos pagalba. Nustačius neatitikimą numatytiems technologiniams parametrams, procesus atstatyti į projektinį r</w:t>
            </w:r>
            <w:r>
              <w:rPr>
                <w:rFonts w:ascii="Times New Roman" w:hAnsi="Times New Roman"/>
              </w:rPr>
              <w:t>e</w:t>
            </w:r>
            <w:r w:rsidRPr="00534E8E">
              <w:rPr>
                <w:rFonts w:ascii="Times New Roman" w:hAnsi="Times New Roman"/>
              </w:rPr>
              <w:t>žimą.</w:t>
            </w:r>
          </w:p>
        </w:tc>
        <w:tc>
          <w:tcPr>
            <w:tcW w:w="1276" w:type="dxa"/>
          </w:tcPr>
          <w:p w:rsidR="00761699" w:rsidRPr="00534E8E" w:rsidRDefault="00761699" w:rsidP="009200F8">
            <w:pPr>
              <w:spacing w:after="0" w:line="240" w:lineRule="auto"/>
              <w:rPr>
                <w:rFonts w:ascii="Times New Roman" w:hAnsi="Times New Roman"/>
              </w:rPr>
            </w:pPr>
            <w:r w:rsidRPr="00534E8E">
              <w:rPr>
                <w:rFonts w:ascii="Times New Roman" w:hAnsi="Times New Roman"/>
              </w:rPr>
              <w:t>Vykdoma</w:t>
            </w:r>
          </w:p>
        </w:tc>
        <w:tc>
          <w:tcPr>
            <w:tcW w:w="1559" w:type="dxa"/>
          </w:tcPr>
          <w:p w:rsidR="00761699" w:rsidRPr="003F255A" w:rsidRDefault="00761699" w:rsidP="00920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7371" w:type="dxa"/>
          </w:tcPr>
          <w:p w:rsidR="00761699" w:rsidRPr="003F255A" w:rsidRDefault="00761699" w:rsidP="00920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Vykdomas padidintas automatinio oro valymo įrenginių stebėjimas ir priežiūra.</w:t>
            </w:r>
          </w:p>
        </w:tc>
      </w:tr>
      <w:tr w:rsidR="00761699" w:rsidRPr="003F255A" w:rsidTr="004F0926">
        <w:tc>
          <w:tcPr>
            <w:tcW w:w="549" w:type="dxa"/>
          </w:tcPr>
          <w:p w:rsidR="00761699" w:rsidRDefault="00761699" w:rsidP="00C65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413" w:type="dxa"/>
          </w:tcPr>
          <w:p w:rsidR="00761699" w:rsidRPr="00534E8E" w:rsidRDefault="00761699" w:rsidP="00C65398">
            <w:pPr>
              <w:spacing w:after="0" w:line="240" w:lineRule="auto"/>
              <w:rPr>
                <w:rFonts w:ascii="Times New Roman" w:hAnsi="Times New Roman"/>
              </w:rPr>
            </w:pPr>
            <w:r w:rsidRPr="00534E8E">
              <w:rPr>
                <w:rFonts w:ascii="Times New Roman" w:hAnsi="Times New Roman"/>
              </w:rPr>
              <w:t>Patikrinti oro valymo įrenginių (</w:t>
            </w:r>
            <w:proofErr w:type="spellStart"/>
            <w:r w:rsidRPr="00534E8E">
              <w:rPr>
                <w:rFonts w:ascii="Times New Roman" w:hAnsi="Times New Roman"/>
              </w:rPr>
              <w:t>skruberiai</w:t>
            </w:r>
            <w:proofErr w:type="spellEnd"/>
            <w:r w:rsidRPr="00534E8E">
              <w:rPr>
                <w:rFonts w:ascii="Times New Roman" w:hAnsi="Times New Roman"/>
              </w:rPr>
              <w:t xml:space="preserve">, </w:t>
            </w:r>
            <w:proofErr w:type="spellStart"/>
            <w:r w:rsidRPr="00534E8E">
              <w:rPr>
                <w:rFonts w:ascii="Times New Roman" w:hAnsi="Times New Roman"/>
              </w:rPr>
              <w:t>biofiltrai</w:t>
            </w:r>
            <w:proofErr w:type="spellEnd"/>
            <w:r w:rsidRPr="00534E8E">
              <w:rPr>
                <w:rFonts w:ascii="Times New Roman" w:hAnsi="Times New Roman"/>
              </w:rPr>
              <w:t>) funkcionavimą. Nustačius neatitikimus atlikti atstatymą/remontą/keitimą ir atstatymą į projektinį režimą.</w:t>
            </w:r>
          </w:p>
        </w:tc>
        <w:tc>
          <w:tcPr>
            <w:tcW w:w="1276" w:type="dxa"/>
          </w:tcPr>
          <w:p w:rsidR="00761699" w:rsidRPr="00534E8E" w:rsidRDefault="00761699" w:rsidP="00C65398">
            <w:pPr>
              <w:spacing w:after="0" w:line="240" w:lineRule="auto"/>
              <w:rPr>
                <w:rFonts w:ascii="Times New Roman" w:hAnsi="Times New Roman"/>
              </w:rPr>
            </w:pPr>
            <w:r w:rsidRPr="00534E8E">
              <w:rPr>
                <w:rFonts w:ascii="Times New Roman" w:hAnsi="Times New Roman"/>
              </w:rPr>
              <w:t>Vykdoma</w:t>
            </w:r>
          </w:p>
        </w:tc>
        <w:tc>
          <w:tcPr>
            <w:tcW w:w="1559" w:type="dxa"/>
          </w:tcPr>
          <w:p w:rsidR="00761699" w:rsidRPr="003F255A" w:rsidRDefault="00761699" w:rsidP="00C65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7371" w:type="dxa"/>
          </w:tcPr>
          <w:p w:rsidR="00761699" w:rsidRPr="003F255A" w:rsidRDefault="00761699" w:rsidP="00C65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Vykdomas padidintas automatinio oro valymo įrenginių stebėjimas ir priežiūra.</w:t>
            </w:r>
          </w:p>
        </w:tc>
      </w:tr>
      <w:tr w:rsidR="00761699" w:rsidRPr="003F255A" w:rsidTr="004F0926">
        <w:tc>
          <w:tcPr>
            <w:tcW w:w="549" w:type="dxa"/>
          </w:tcPr>
          <w:p w:rsidR="00761699" w:rsidRDefault="00761699" w:rsidP="00C65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4413" w:type="dxa"/>
          </w:tcPr>
          <w:p w:rsidR="00761699" w:rsidRPr="00534E8E" w:rsidRDefault="00761699" w:rsidP="00600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Aplinkos monitoringo vykdymas </w:t>
            </w:r>
          </w:p>
        </w:tc>
        <w:tc>
          <w:tcPr>
            <w:tcW w:w="1276" w:type="dxa"/>
          </w:tcPr>
          <w:p w:rsidR="00761699" w:rsidRPr="00534E8E" w:rsidRDefault="00761699" w:rsidP="00C65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Vykdoma</w:t>
            </w:r>
          </w:p>
        </w:tc>
        <w:tc>
          <w:tcPr>
            <w:tcW w:w="1559" w:type="dxa"/>
          </w:tcPr>
          <w:p w:rsidR="00761699" w:rsidRDefault="00761699" w:rsidP="00C65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k./metus</w:t>
            </w:r>
          </w:p>
        </w:tc>
        <w:tc>
          <w:tcPr>
            <w:tcW w:w="7371" w:type="dxa"/>
          </w:tcPr>
          <w:p w:rsidR="00761699" w:rsidRDefault="00761699" w:rsidP="004F0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Aplinkos monitoringo (įskaitant į aplinkos orą išmetamų teršalų) vykdymas pagal TIPK leidimo sąlygas.</w:t>
            </w:r>
          </w:p>
          <w:p w:rsidR="00761699" w:rsidRDefault="00761699" w:rsidP="004F0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Monitoringo rezultatai bus skelbiami įmonės tinklalapyje </w:t>
            </w:r>
            <w:hyperlink r:id="rId6" w:history="1">
              <w:r w:rsidRPr="00CD73ED">
                <w:rPr>
                  <w:rStyle w:val="Hipersaitas"/>
                  <w:rFonts w:ascii="Times New Roman" w:hAnsi="Times New Roman"/>
                </w:rPr>
                <w:t>www.kaunoratc.lt</w:t>
              </w:r>
            </w:hyperlink>
          </w:p>
          <w:p w:rsidR="00761699" w:rsidRPr="003F255A" w:rsidRDefault="00761699" w:rsidP="004F0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54D">
              <w:rPr>
                <w:rFonts w:ascii="Times New Roman" w:hAnsi="Times New Roman"/>
              </w:rPr>
              <w:t>UAB „Ekopaslauga“ atliko oro taršos šaltinių inventorizaciją Kauno mechaninio biologinio apdorojimo gamykloje. Aplinkos apsaugos agentūra 2017 m. sausio 13 d. raštu Nr. (28.1)-A4-448 priėmė atliktą inventorizaciją.</w:t>
            </w:r>
          </w:p>
        </w:tc>
      </w:tr>
      <w:tr w:rsidR="00761699" w:rsidRPr="003F255A" w:rsidTr="004F0926">
        <w:tc>
          <w:tcPr>
            <w:tcW w:w="549" w:type="dxa"/>
          </w:tcPr>
          <w:p w:rsidR="00761699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413" w:type="dxa"/>
          </w:tcPr>
          <w:p w:rsidR="00761699" w:rsidRPr="00933D3C" w:rsidRDefault="00761699" w:rsidP="004F0926">
            <w:pPr>
              <w:spacing w:after="0" w:line="240" w:lineRule="auto"/>
              <w:rPr>
                <w:rFonts w:ascii="Times New Roman" w:hAnsi="Times New Roman"/>
              </w:rPr>
            </w:pPr>
            <w:r w:rsidRPr="00933D3C">
              <w:rPr>
                <w:rFonts w:ascii="Times New Roman" w:hAnsi="Times New Roman"/>
              </w:rPr>
              <w:t>Aplinkos oro kokybės įvertinimas už įmonės teritorijos ribų, artimiausiose teritorijose</w:t>
            </w:r>
          </w:p>
        </w:tc>
        <w:tc>
          <w:tcPr>
            <w:tcW w:w="1276" w:type="dxa"/>
          </w:tcPr>
          <w:p w:rsidR="00761699" w:rsidRPr="00933D3C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933D3C">
              <w:rPr>
                <w:rFonts w:ascii="Times New Roman" w:hAnsi="Times New Roman"/>
              </w:rPr>
              <w:t>Priemonė nebeaktuali</w:t>
            </w:r>
          </w:p>
        </w:tc>
        <w:tc>
          <w:tcPr>
            <w:tcW w:w="1559" w:type="dxa"/>
          </w:tcPr>
          <w:p w:rsidR="00761699" w:rsidRPr="00933D3C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761699" w:rsidRPr="00933D3C" w:rsidRDefault="00F86D20" w:rsidP="00F86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D3C">
              <w:rPr>
                <w:rFonts w:ascii="Times New Roman" w:hAnsi="Times New Roman"/>
              </w:rPr>
              <w:t>Gaunami tik pavieniai nusiskundimai dėl kvapų sklaidos</w:t>
            </w:r>
            <w:r w:rsidR="00393B52" w:rsidRPr="00933D3C">
              <w:rPr>
                <w:rFonts w:ascii="Times New Roman" w:hAnsi="Times New Roman"/>
              </w:rPr>
              <w:t>, todėl priemonė tapo nebeaktuali</w:t>
            </w:r>
            <w:r w:rsidRPr="00933D3C">
              <w:rPr>
                <w:rFonts w:ascii="Times New Roman" w:hAnsi="Times New Roman"/>
              </w:rPr>
              <w:t>. Nusiskundimai registruojami, tikrinama ar nesutriko ventiliatorių ir automatinio oro valymo įrenginių darbas</w:t>
            </w:r>
            <w:r w:rsidR="00933D3C" w:rsidRPr="00933D3C">
              <w:rPr>
                <w:rFonts w:ascii="Times New Roman" w:hAnsi="Times New Roman"/>
              </w:rPr>
              <w:t>, žiūrima vėjo kryptis (tikrinama ar tai gali būti sklaida iš Kauno MBA)</w:t>
            </w:r>
            <w:r w:rsidRPr="00933D3C">
              <w:rPr>
                <w:rFonts w:ascii="Times New Roman" w:hAnsi="Times New Roman"/>
              </w:rPr>
              <w:t>.</w:t>
            </w:r>
          </w:p>
        </w:tc>
      </w:tr>
      <w:tr w:rsidR="008235AE" w:rsidRPr="003F255A" w:rsidTr="008366FA">
        <w:tc>
          <w:tcPr>
            <w:tcW w:w="15168" w:type="dxa"/>
            <w:gridSpan w:val="5"/>
            <w:shd w:val="clear" w:color="auto" w:fill="D9D9D9" w:themeFill="background1" w:themeFillShade="D9"/>
          </w:tcPr>
          <w:p w:rsidR="008235AE" w:rsidRPr="003F255A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</w:t>
            </w:r>
            <w:r w:rsidRPr="00534E8E">
              <w:rPr>
                <w:rFonts w:ascii="Times New Roman" w:hAnsi="Times New Roman"/>
              </w:rPr>
              <w:t xml:space="preserve">apildomų kvapus mažinančių priemonių </w:t>
            </w:r>
            <w:r>
              <w:rPr>
                <w:rFonts w:ascii="Times New Roman" w:hAnsi="Times New Roman"/>
              </w:rPr>
              <w:t>naudojimas</w:t>
            </w:r>
          </w:p>
        </w:tc>
      </w:tr>
      <w:tr w:rsidR="00761699" w:rsidRPr="003F255A" w:rsidTr="004F0926">
        <w:tc>
          <w:tcPr>
            <w:tcW w:w="549" w:type="dxa"/>
          </w:tcPr>
          <w:p w:rsidR="00761699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413" w:type="dxa"/>
          </w:tcPr>
          <w:p w:rsidR="00761699" w:rsidRPr="00534E8E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534E8E">
              <w:rPr>
                <w:rFonts w:ascii="Times New Roman" w:hAnsi="Times New Roman"/>
              </w:rPr>
              <w:t xml:space="preserve">Sudaromi laikini technologinės ventiliacijos darbo režimai, kurie mažina medžiagų, atpažįstamų kaip nemalonūs kvapai, išsiskyrimą kompostuojamoje medžiagoje. </w:t>
            </w:r>
          </w:p>
          <w:p w:rsidR="00761699" w:rsidRPr="00534E8E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534E8E">
              <w:rPr>
                <w:rFonts w:ascii="Times New Roman" w:hAnsi="Times New Roman"/>
              </w:rPr>
              <w:t>Šie darbo r</w:t>
            </w:r>
            <w:r>
              <w:rPr>
                <w:rFonts w:ascii="Times New Roman" w:hAnsi="Times New Roman"/>
              </w:rPr>
              <w:t>e</w:t>
            </w:r>
            <w:r w:rsidRPr="00534E8E">
              <w:rPr>
                <w:rFonts w:ascii="Times New Roman" w:hAnsi="Times New Roman"/>
              </w:rPr>
              <w:t>žimai naudojami iki pilno sutrikimų likvidavimo</w:t>
            </w:r>
            <w:r>
              <w:rPr>
                <w:rFonts w:ascii="Times New Roman" w:hAnsi="Times New Roman"/>
              </w:rPr>
              <w:t xml:space="preserve"> ir </w:t>
            </w:r>
            <w:r w:rsidRPr="00534E8E">
              <w:rPr>
                <w:rFonts w:ascii="Times New Roman" w:hAnsi="Times New Roman"/>
              </w:rPr>
              <w:t xml:space="preserve">perėjimui prie projektinių režimų. </w:t>
            </w:r>
          </w:p>
        </w:tc>
        <w:tc>
          <w:tcPr>
            <w:tcW w:w="1276" w:type="dxa"/>
          </w:tcPr>
          <w:p w:rsidR="00761699" w:rsidRPr="00534E8E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Atlikta</w:t>
            </w:r>
          </w:p>
        </w:tc>
        <w:tc>
          <w:tcPr>
            <w:tcW w:w="1559" w:type="dxa"/>
          </w:tcPr>
          <w:p w:rsidR="00761699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</w:t>
            </w:r>
            <w:r w:rsidRPr="00534E8E">
              <w:rPr>
                <w:rFonts w:ascii="Times New Roman" w:hAnsi="Times New Roman"/>
              </w:rPr>
              <w:t>pilno sutrikimų likvidavimo</w:t>
            </w:r>
            <w:r>
              <w:rPr>
                <w:rFonts w:ascii="Times New Roman" w:hAnsi="Times New Roman"/>
              </w:rPr>
              <w:t xml:space="preserve"> ir </w:t>
            </w:r>
            <w:r w:rsidRPr="00534E8E">
              <w:rPr>
                <w:rFonts w:ascii="Times New Roman" w:hAnsi="Times New Roman"/>
              </w:rPr>
              <w:t>perėjimui prie projektinių režimų</w:t>
            </w:r>
          </w:p>
        </w:tc>
        <w:tc>
          <w:tcPr>
            <w:tcW w:w="7371" w:type="dxa"/>
          </w:tcPr>
          <w:p w:rsidR="00761699" w:rsidRPr="003F255A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Vykdomas padidintas automatinio oro valymo įrenginių stebėjimas ir priežiūra.</w:t>
            </w:r>
          </w:p>
        </w:tc>
      </w:tr>
      <w:tr w:rsidR="00761699" w:rsidRPr="003F255A" w:rsidTr="004F0926">
        <w:tc>
          <w:tcPr>
            <w:tcW w:w="549" w:type="dxa"/>
          </w:tcPr>
          <w:p w:rsidR="00761699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413" w:type="dxa"/>
          </w:tcPr>
          <w:p w:rsidR="00761699" w:rsidRPr="00534E8E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Pr="00EA2561">
              <w:rPr>
                <w:rFonts w:ascii="Times New Roman" w:hAnsi="Times New Roman"/>
              </w:rPr>
              <w:t>robiotikų</w:t>
            </w:r>
            <w:proofErr w:type="spellEnd"/>
            <w:r w:rsidRPr="00EA2561">
              <w:rPr>
                <w:rFonts w:ascii="Times New Roman" w:hAnsi="Times New Roman"/>
              </w:rPr>
              <w:t xml:space="preserve"> turin</w:t>
            </w:r>
            <w:r>
              <w:rPr>
                <w:rFonts w:ascii="Times New Roman" w:hAnsi="Times New Roman"/>
              </w:rPr>
              <w:t>čio</w:t>
            </w:r>
            <w:r w:rsidRPr="00EA2561">
              <w:rPr>
                <w:rFonts w:ascii="Times New Roman" w:hAnsi="Times New Roman"/>
              </w:rPr>
              <w:t xml:space="preserve"> preparat</w:t>
            </w:r>
            <w:r>
              <w:rPr>
                <w:rFonts w:ascii="Times New Roman" w:hAnsi="Times New Roman"/>
              </w:rPr>
              <w:t>o (</w:t>
            </w:r>
            <w:r w:rsidRPr="00EA2561">
              <w:rPr>
                <w:rFonts w:ascii="Times New Roman" w:hAnsi="Times New Roman"/>
              </w:rPr>
              <w:t>mikrobiologinė</w:t>
            </w:r>
            <w:r>
              <w:rPr>
                <w:rFonts w:ascii="Times New Roman" w:hAnsi="Times New Roman"/>
              </w:rPr>
              <w:t>s</w:t>
            </w:r>
            <w:r w:rsidRPr="00EA2561">
              <w:rPr>
                <w:rFonts w:ascii="Times New Roman" w:hAnsi="Times New Roman"/>
              </w:rPr>
              <w:t xml:space="preserve"> priemonė</w:t>
            </w:r>
            <w:r>
              <w:rPr>
                <w:rFonts w:ascii="Times New Roman" w:hAnsi="Times New Roman"/>
              </w:rPr>
              <w:t xml:space="preserve">s) purškimas atliekų priėmimo ir mechaninio rūšiavimo zonose. </w:t>
            </w:r>
          </w:p>
        </w:tc>
        <w:tc>
          <w:tcPr>
            <w:tcW w:w="1276" w:type="dxa"/>
          </w:tcPr>
          <w:p w:rsidR="00761699" w:rsidRPr="00534E8E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Vykdoma</w:t>
            </w:r>
          </w:p>
        </w:tc>
        <w:tc>
          <w:tcPr>
            <w:tcW w:w="1559" w:type="dxa"/>
          </w:tcPr>
          <w:p w:rsidR="00761699" w:rsidRDefault="00761699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 2016 m.</w:t>
            </w:r>
            <w:r w:rsidRPr="00EA2561">
              <w:rPr>
                <w:rFonts w:ascii="Times New Roman" w:hAnsi="Times New Roman"/>
              </w:rPr>
              <w:t xml:space="preserve"> liepos 8 d.</w:t>
            </w:r>
          </w:p>
        </w:tc>
        <w:tc>
          <w:tcPr>
            <w:tcW w:w="7371" w:type="dxa"/>
          </w:tcPr>
          <w:p w:rsidR="00761699" w:rsidRDefault="00761699" w:rsidP="00A15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561">
              <w:rPr>
                <w:rFonts w:ascii="Times New Roman" w:hAnsi="Times New Roman"/>
              </w:rPr>
              <w:t>Tai specialios natūralios mikrofloros-</w:t>
            </w:r>
            <w:proofErr w:type="spellStart"/>
            <w:r w:rsidRPr="00EA2561">
              <w:rPr>
                <w:rFonts w:ascii="Times New Roman" w:hAnsi="Times New Roman"/>
              </w:rPr>
              <w:t>probiotikų</w:t>
            </w:r>
            <w:proofErr w:type="spellEnd"/>
            <w:r w:rsidRPr="00EA2561">
              <w:rPr>
                <w:rFonts w:ascii="Times New Roman" w:hAnsi="Times New Roman"/>
              </w:rPr>
              <w:t xml:space="preserve"> kompozicijos, kurios naudojamos kenksmingų kvapų prevencijai. Dėl </w:t>
            </w:r>
            <w:proofErr w:type="spellStart"/>
            <w:r w:rsidRPr="00EA2561">
              <w:rPr>
                <w:rFonts w:ascii="Times New Roman" w:hAnsi="Times New Roman"/>
              </w:rPr>
              <w:t>probiotikų</w:t>
            </w:r>
            <w:proofErr w:type="spellEnd"/>
            <w:r w:rsidRPr="00EA2561">
              <w:rPr>
                <w:rFonts w:ascii="Times New Roman" w:hAnsi="Times New Roman"/>
              </w:rPr>
              <w:t xml:space="preserve"> naudojimo konsultavo Aplinkos vadybos ir audito instituto direktorius dr. Rimantas Budrys, instituto direktoriaus pavaduotojas Konstantinas </w:t>
            </w:r>
            <w:proofErr w:type="spellStart"/>
            <w:r w:rsidRPr="00EA2561">
              <w:rPr>
                <w:rFonts w:ascii="Times New Roman" w:hAnsi="Times New Roman"/>
              </w:rPr>
              <w:t>Iljasevičius</w:t>
            </w:r>
            <w:proofErr w:type="spellEnd"/>
            <w:r w:rsidRPr="00EA2561">
              <w:rPr>
                <w:rFonts w:ascii="Times New Roman" w:hAnsi="Times New Roman"/>
              </w:rPr>
              <w:t xml:space="preserve">. </w:t>
            </w:r>
          </w:p>
          <w:p w:rsidR="00761699" w:rsidRPr="003F255A" w:rsidRDefault="00761699" w:rsidP="00557F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39C0">
              <w:rPr>
                <w:rFonts w:ascii="Times New Roman" w:hAnsi="Times New Roman"/>
              </w:rPr>
              <w:t xml:space="preserve">Nuo 2016-09-08 </w:t>
            </w:r>
            <w:proofErr w:type="spellStart"/>
            <w:r w:rsidRPr="003639C0">
              <w:rPr>
                <w:rFonts w:ascii="Times New Roman" w:hAnsi="Times New Roman"/>
              </w:rPr>
              <w:t>probiotine</w:t>
            </w:r>
            <w:proofErr w:type="spellEnd"/>
            <w:r w:rsidRPr="003639C0">
              <w:rPr>
                <w:rFonts w:ascii="Times New Roman" w:hAnsi="Times New Roman"/>
              </w:rPr>
              <w:t xml:space="preserve"> priemone gerinamas </w:t>
            </w:r>
            <w:proofErr w:type="spellStart"/>
            <w:r w:rsidRPr="003639C0">
              <w:rPr>
                <w:rFonts w:ascii="Times New Roman" w:hAnsi="Times New Roman"/>
              </w:rPr>
              <w:t>biofiltrų</w:t>
            </w:r>
            <w:proofErr w:type="spellEnd"/>
            <w:r w:rsidRPr="003639C0">
              <w:rPr>
                <w:rFonts w:ascii="Times New Roman" w:hAnsi="Times New Roman"/>
              </w:rPr>
              <w:t xml:space="preserve"> darbas. Sistema automatizuota.</w:t>
            </w:r>
            <w:r w:rsidR="00E91BB4">
              <w:rPr>
                <w:rFonts w:ascii="Times New Roman" w:hAnsi="Times New Roman"/>
              </w:rPr>
              <w:t xml:space="preserve"> </w:t>
            </w:r>
            <w:r w:rsidR="00E91BB4" w:rsidRPr="00933D3C">
              <w:rPr>
                <w:rFonts w:ascii="Times New Roman" w:hAnsi="Times New Roman"/>
              </w:rPr>
              <w:t xml:space="preserve">Taip pat papildomai atliekami purškimai </w:t>
            </w:r>
            <w:proofErr w:type="spellStart"/>
            <w:r w:rsidR="00E91BB4" w:rsidRPr="00933D3C">
              <w:rPr>
                <w:rFonts w:ascii="Times New Roman" w:hAnsi="Times New Roman"/>
              </w:rPr>
              <w:t>priobiotine</w:t>
            </w:r>
            <w:proofErr w:type="spellEnd"/>
            <w:r w:rsidR="00E91BB4" w:rsidRPr="00933D3C">
              <w:rPr>
                <w:rFonts w:ascii="Times New Roman" w:hAnsi="Times New Roman"/>
              </w:rPr>
              <w:t xml:space="preserve"> medžiaga atliekų priėmimo bei atliekų laikino saugojimo zonose.</w:t>
            </w:r>
          </w:p>
        </w:tc>
      </w:tr>
      <w:tr w:rsidR="008235AE" w:rsidRPr="003F255A" w:rsidTr="008366FA">
        <w:tc>
          <w:tcPr>
            <w:tcW w:w="15168" w:type="dxa"/>
            <w:gridSpan w:val="5"/>
            <w:shd w:val="clear" w:color="auto" w:fill="D9D9D9" w:themeFill="background1" w:themeFillShade="D9"/>
          </w:tcPr>
          <w:p w:rsidR="008235AE" w:rsidRPr="00EA256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Kvapų sklidimo rizikos mažinimo priemonių planavimas, įdiegimas ir administracinė kontrolė</w:t>
            </w:r>
          </w:p>
        </w:tc>
      </w:tr>
      <w:tr w:rsidR="00557FB8" w:rsidRPr="003F255A" w:rsidTr="004F0926">
        <w:tc>
          <w:tcPr>
            <w:tcW w:w="549" w:type="dxa"/>
          </w:tcPr>
          <w:p w:rsidR="00557FB8" w:rsidRDefault="00557FB8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413" w:type="dxa"/>
          </w:tcPr>
          <w:p w:rsidR="00557FB8" w:rsidRDefault="00557FB8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Aplinkos oro taršos šaltinių (organizuotų ir neorganizuotų) ir jų išmetamų teršalų inventorizacija, įvertinant oro teršalų valymo įrenginių veikimo efektyvumo rodiklius. </w:t>
            </w:r>
          </w:p>
        </w:tc>
        <w:tc>
          <w:tcPr>
            <w:tcW w:w="1276" w:type="dxa"/>
          </w:tcPr>
          <w:p w:rsidR="00557FB8" w:rsidRDefault="00557FB8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Atlikta</w:t>
            </w:r>
          </w:p>
        </w:tc>
        <w:tc>
          <w:tcPr>
            <w:tcW w:w="1559" w:type="dxa"/>
          </w:tcPr>
          <w:p w:rsidR="00557FB8" w:rsidRDefault="00557FB8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557FB8" w:rsidRDefault="00557FB8" w:rsidP="00DA365A">
            <w:pPr>
              <w:spacing w:after="0" w:line="240" w:lineRule="auto"/>
              <w:rPr>
                <w:rFonts w:ascii="Times New Roman" w:hAnsi="Times New Roman"/>
              </w:rPr>
            </w:pPr>
            <w:r w:rsidRPr="0028554D">
              <w:rPr>
                <w:rFonts w:ascii="Times New Roman" w:hAnsi="Times New Roman"/>
              </w:rPr>
              <w:t xml:space="preserve">UAB „Ekopaslauga“ atliko oro taršos šaltinių inventorizaciją Kauno mechaninio biologinio apdorojimo gamykloje. </w:t>
            </w:r>
          </w:p>
          <w:p w:rsidR="00557FB8" w:rsidRDefault="00557FB8" w:rsidP="00557FB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N</w:t>
            </w:r>
            <w:r w:rsidRPr="00CD3E8D">
              <w:rPr>
                <w:rFonts w:ascii="Times New Roman" w:hAnsi="Times New Roman"/>
              </w:rPr>
              <w:t xml:space="preserve">ustatyta, kad amoniakas valomas 94%, o </w:t>
            </w:r>
            <w:proofErr w:type="spellStart"/>
            <w:r w:rsidRPr="00CD3E8D">
              <w:rPr>
                <w:rFonts w:ascii="Times New Roman" w:hAnsi="Times New Roman"/>
              </w:rPr>
              <w:t>merkaptanas</w:t>
            </w:r>
            <w:proofErr w:type="spellEnd"/>
            <w:r w:rsidRPr="00CD3E8D">
              <w:rPr>
                <w:rFonts w:ascii="Times New Roman" w:hAnsi="Times New Roman"/>
              </w:rPr>
              <w:t xml:space="preserve"> sulaikomas 95% efektyvumu. Kietųjų dalelių sulaikymo efektyvumas 99,99</w:t>
            </w:r>
            <w:r w:rsidRPr="00CD3E8D">
              <w:rPr>
                <w:rFonts w:ascii="Times New Roman" w:hAnsi="Times New Roman"/>
                <w:lang w:val="en-GB"/>
              </w:rPr>
              <w:t>%.</w:t>
            </w:r>
          </w:p>
          <w:p w:rsidR="00557FB8" w:rsidRPr="00EA2561" w:rsidRDefault="00557FB8" w:rsidP="00DA365A">
            <w:pPr>
              <w:spacing w:after="0" w:line="240" w:lineRule="auto"/>
              <w:rPr>
                <w:rFonts w:ascii="Times New Roman" w:hAnsi="Times New Roman"/>
              </w:rPr>
            </w:pPr>
            <w:r w:rsidRPr="0028554D">
              <w:rPr>
                <w:rFonts w:ascii="Times New Roman" w:hAnsi="Times New Roman"/>
              </w:rPr>
              <w:t>Aplinkos apsaugos agentūra 2017 m. sausio 13 d. raštu Nr. (28.1)-A4-448 priėmė atliktą inventorizaciją.</w:t>
            </w:r>
          </w:p>
        </w:tc>
      </w:tr>
      <w:tr w:rsidR="00557FB8" w:rsidRPr="003F255A" w:rsidTr="004F0926">
        <w:tc>
          <w:tcPr>
            <w:tcW w:w="549" w:type="dxa"/>
          </w:tcPr>
          <w:p w:rsidR="00557FB8" w:rsidRPr="00E91BB4" w:rsidRDefault="00557FB8" w:rsidP="008235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91BB4">
              <w:rPr>
                <w:rFonts w:ascii="Times New Roman" w:hAnsi="Times New Roman"/>
                <w:color w:val="000000" w:themeColor="text1"/>
              </w:rPr>
              <w:t>4.2.</w:t>
            </w:r>
          </w:p>
        </w:tc>
        <w:tc>
          <w:tcPr>
            <w:tcW w:w="4413" w:type="dxa"/>
          </w:tcPr>
          <w:p w:rsidR="00557FB8" w:rsidRPr="00E91BB4" w:rsidRDefault="00557FB8" w:rsidP="008235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91BB4">
              <w:rPr>
                <w:rFonts w:ascii="Times New Roman" w:hAnsi="Times New Roman"/>
                <w:color w:val="000000" w:themeColor="text1"/>
              </w:rPr>
              <w:t>Kvapų sklaidos modeliavimas.</w:t>
            </w:r>
          </w:p>
        </w:tc>
        <w:tc>
          <w:tcPr>
            <w:tcW w:w="1276" w:type="dxa"/>
          </w:tcPr>
          <w:p w:rsidR="00557FB8" w:rsidRPr="00E91BB4" w:rsidRDefault="00E811C3" w:rsidP="008235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91BB4">
              <w:rPr>
                <w:rFonts w:ascii="Times New Roman" w:hAnsi="Times New Roman"/>
                <w:color w:val="000000" w:themeColor="text1"/>
              </w:rPr>
              <w:t>Atlikta</w:t>
            </w:r>
          </w:p>
        </w:tc>
        <w:tc>
          <w:tcPr>
            <w:tcW w:w="1559" w:type="dxa"/>
          </w:tcPr>
          <w:p w:rsidR="00557FB8" w:rsidRPr="00E91BB4" w:rsidRDefault="00557FB8" w:rsidP="008235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71" w:type="dxa"/>
          </w:tcPr>
          <w:p w:rsidR="00557FB8" w:rsidRDefault="00E811C3" w:rsidP="00557F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91BB4">
              <w:rPr>
                <w:rFonts w:ascii="Times New Roman" w:hAnsi="Times New Roman"/>
                <w:color w:val="000000" w:themeColor="text1"/>
              </w:rPr>
              <w:t xml:space="preserve">Kvapų </w:t>
            </w:r>
            <w:proofErr w:type="spellStart"/>
            <w:r w:rsidRPr="00E91BB4">
              <w:rPr>
                <w:rFonts w:ascii="Times New Roman" w:hAnsi="Times New Roman"/>
                <w:color w:val="000000" w:themeColor="text1"/>
              </w:rPr>
              <w:t>matavimu</w:t>
            </w:r>
            <w:r w:rsidR="00557FB8" w:rsidRPr="00E91BB4">
              <w:rPr>
                <w:rFonts w:ascii="Times New Roman" w:hAnsi="Times New Roman"/>
                <w:color w:val="000000" w:themeColor="text1"/>
              </w:rPr>
              <w:t>s</w:t>
            </w:r>
            <w:proofErr w:type="spellEnd"/>
            <w:r w:rsidR="00557FB8" w:rsidRPr="00E91BB4">
              <w:rPr>
                <w:rFonts w:ascii="Times New Roman" w:hAnsi="Times New Roman"/>
                <w:color w:val="000000" w:themeColor="text1"/>
              </w:rPr>
              <w:t xml:space="preserve"> atliko Nacionalinės visuomenės sveikatos priežiūros laboratorija. Kvapų sklaidos modeliavimą atliko UAB „Ekopaslauga“. Sklaidos ataskaitą Aplinkos apsaugos agentūrai pateikta 2016-11-08 raštu Nr. 261</w:t>
            </w:r>
            <w:r w:rsidR="00933D3C">
              <w:rPr>
                <w:rFonts w:ascii="Times New Roman" w:hAnsi="Times New Roman"/>
                <w:color w:val="000000" w:themeColor="text1"/>
              </w:rPr>
              <w:t>.</w:t>
            </w:r>
            <w:r w:rsidR="00427A9A">
              <w:rPr>
                <w:rFonts w:ascii="Times New Roman" w:hAnsi="Times New Roman"/>
                <w:color w:val="000000" w:themeColor="text1"/>
              </w:rPr>
              <w:t xml:space="preserve"> Papildomai pateiktas kvapų sklaidos modeliavimas planuojamai situacijai, jei bus sujungti 001 ir 002 taršos šaltiniai (</w:t>
            </w:r>
            <w:proofErr w:type="spellStart"/>
            <w:r w:rsidR="00427A9A">
              <w:rPr>
                <w:rFonts w:ascii="Times New Roman" w:hAnsi="Times New Roman"/>
                <w:color w:val="000000" w:themeColor="text1"/>
              </w:rPr>
              <w:t>biofiltrai</w:t>
            </w:r>
            <w:proofErr w:type="spellEnd"/>
            <w:r w:rsidR="00427A9A">
              <w:rPr>
                <w:rFonts w:ascii="Times New Roman" w:hAnsi="Times New Roman"/>
                <w:color w:val="000000" w:themeColor="text1"/>
              </w:rPr>
              <w:t>) bei pastatytas 35 m aukščio kaminas.</w:t>
            </w:r>
          </w:p>
          <w:p w:rsidR="00557FB8" w:rsidRPr="00E91BB4" w:rsidRDefault="00427A9A" w:rsidP="00404A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Aplinkos apsaugos agentūra pateiktiems kvapų sklaidos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modeliavimams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pastabų ir pasiūlymų </w:t>
            </w:r>
            <w:r w:rsidR="00404A5D">
              <w:rPr>
                <w:rFonts w:ascii="Times New Roman" w:hAnsi="Times New Roman"/>
                <w:color w:val="000000" w:themeColor="text1"/>
              </w:rPr>
              <w:t>neturi</w:t>
            </w:r>
            <w:r>
              <w:rPr>
                <w:rFonts w:ascii="Times New Roman" w:hAnsi="Times New Roman"/>
                <w:color w:val="000000" w:themeColor="text1"/>
              </w:rPr>
              <w:t xml:space="preserve"> (2017-04-04 raštu Nr. (28.1)-A4-3604).</w:t>
            </w:r>
          </w:p>
        </w:tc>
      </w:tr>
      <w:tr w:rsidR="00085A9A" w:rsidRPr="003F255A" w:rsidTr="004F0926">
        <w:tc>
          <w:tcPr>
            <w:tcW w:w="549" w:type="dxa"/>
          </w:tcPr>
          <w:p w:rsidR="00085A9A" w:rsidRPr="00404A5D" w:rsidRDefault="00085A9A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404A5D"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4413" w:type="dxa"/>
          </w:tcPr>
          <w:p w:rsidR="00085A9A" w:rsidRPr="00404A5D" w:rsidRDefault="00085A9A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404A5D">
              <w:rPr>
                <w:rFonts w:ascii="Times New Roman" w:hAnsi="Times New Roman"/>
              </w:rPr>
              <w:t>Alternatyvių papildomų kvapų mažinimo techninių sprendinių analizė.</w:t>
            </w:r>
          </w:p>
        </w:tc>
        <w:tc>
          <w:tcPr>
            <w:tcW w:w="1276" w:type="dxa"/>
          </w:tcPr>
          <w:p w:rsidR="00085A9A" w:rsidRPr="00404A5D" w:rsidRDefault="00085A9A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404A5D">
              <w:rPr>
                <w:rFonts w:ascii="Times New Roman" w:hAnsi="Times New Roman"/>
              </w:rPr>
              <w:t>Atlikta</w:t>
            </w:r>
          </w:p>
        </w:tc>
        <w:tc>
          <w:tcPr>
            <w:tcW w:w="1559" w:type="dxa"/>
          </w:tcPr>
          <w:p w:rsidR="00085A9A" w:rsidRPr="00404A5D" w:rsidRDefault="00085A9A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85A9A" w:rsidRPr="00404A5D" w:rsidRDefault="00085A9A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404A5D">
              <w:rPr>
                <w:rFonts w:ascii="Times New Roman" w:hAnsi="Times New Roman"/>
              </w:rPr>
              <w:t xml:space="preserve">Vyko susitikimai ir konsultacijos su alternatyvius kvapų mažinimo sprendinius siūlančiais tiekėjais: BIOTHYS </w:t>
            </w:r>
            <w:proofErr w:type="spellStart"/>
            <w:r w:rsidRPr="00404A5D">
              <w:rPr>
                <w:rFonts w:ascii="Times New Roman" w:hAnsi="Times New Roman"/>
              </w:rPr>
              <w:t>GmbH</w:t>
            </w:r>
            <w:proofErr w:type="spellEnd"/>
            <w:r w:rsidRPr="00404A5D">
              <w:rPr>
                <w:rFonts w:ascii="Times New Roman" w:hAnsi="Times New Roman"/>
              </w:rPr>
              <w:t xml:space="preserve">, UAB B </w:t>
            </w:r>
            <w:proofErr w:type="spellStart"/>
            <w:r w:rsidRPr="00404A5D">
              <w:rPr>
                <w:rFonts w:ascii="Times New Roman" w:hAnsi="Times New Roman"/>
              </w:rPr>
              <w:t>Services</w:t>
            </w:r>
            <w:proofErr w:type="spellEnd"/>
            <w:r w:rsidRPr="00404A5D">
              <w:rPr>
                <w:rFonts w:ascii="Times New Roman" w:hAnsi="Times New Roman"/>
              </w:rPr>
              <w:t xml:space="preserve">, UAB Ozono centras, UAB Alfa vartai, UAB Vandens lašai, UAB </w:t>
            </w:r>
            <w:proofErr w:type="spellStart"/>
            <w:r w:rsidRPr="00404A5D">
              <w:rPr>
                <w:rFonts w:ascii="Times New Roman" w:hAnsi="Times New Roman"/>
              </w:rPr>
              <w:t>Technical</w:t>
            </w:r>
            <w:proofErr w:type="spellEnd"/>
            <w:r w:rsidRPr="00404A5D">
              <w:rPr>
                <w:rFonts w:ascii="Times New Roman" w:hAnsi="Times New Roman"/>
              </w:rPr>
              <w:t xml:space="preserve"> </w:t>
            </w:r>
            <w:proofErr w:type="spellStart"/>
            <w:r w:rsidRPr="00404A5D">
              <w:rPr>
                <w:rFonts w:ascii="Times New Roman" w:hAnsi="Times New Roman"/>
              </w:rPr>
              <w:t>Insulation</w:t>
            </w:r>
            <w:proofErr w:type="spellEnd"/>
            <w:r w:rsidRPr="00404A5D">
              <w:rPr>
                <w:rFonts w:ascii="Times New Roman" w:hAnsi="Times New Roman"/>
              </w:rPr>
              <w:t xml:space="preserve"> </w:t>
            </w:r>
            <w:proofErr w:type="spellStart"/>
            <w:r w:rsidRPr="00404A5D">
              <w:rPr>
                <w:rFonts w:ascii="Times New Roman" w:hAnsi="Times New Roman"/>
              </w:rPr>
              <w:t>Services</w:t>
            </w:r>
            <w:proofErr w:type="spellEnd"/>
            <w:r w:rsidRPr="00404A5D">
              <w:rPr>
                <w:rFonts w:ascii="Times New Roman" w:hAnsi="Times New Roman"/>
              </w:rPr>
              <w:t xml:space="preserve">, Airplus1, MB </w:t>
            </w:r>
            <w:proofErr w:type="spellStart"/>
            <w:r w:rsidRPr="00404A5D">
              <w:rPr>
                <w:rFonts w:ascii="Times New Roman" w:hAnsi="Times New Roman"/>
              </w:rPr>
              <w:t>Infosfera</w:t>
            </w:r>
            <w:proofErr w:type="spellEnd"/>
            <w:r w:rsidRPr="00404A5D">
              <w:rPr>
                <w:rFonts w:ascii="Times New Roman" w:hAnsi="Times New Roman"/>
              </w:rPr>
              <w:t xml:space="preserve">, UAB </w:t>
            </w:r>
            <w:proofErr w:type="spellStart"/>
            <w:r w:rsidRPr="00404A5D">
              <w:rPr>
                <w:rFonts w:ascii="Times New Roman" w:hAnsi="Times New Roman"/>
              </w:rPr>
              <w:t>Raleksas</w:t>
            </w:r>
            <w:proofErr w:type="spellEnd"/>
            <w:r w:rsidRPr="00404A5D">
              <w:rPr>
                <w:rFonts w:ascii="Times New Roman" w:hAnsi="Times New Roman"/>
              </w:rPr>
              <w:t xml:space="preserve">, UAB </w:t>
            </w:r>
            <w:proofErr w:type="spellStart"/>
            <w:r w:rsidRPr="00404A5D">
              <w:rPr>
                <w:rFonts w:ascii="Times New Roman" w:hAnsi="Times New Roman"/>
              </w:rPr>
              <w:t>Rubisolis</w:t>
            </w:r>
            <w:proofErr w:type="spellEnd"/>
            <w:r w:rsidRPr="00404A5D">
              <w:rPr>
                <w:rFonts w:ascii="Times New Roman" w:hAnsi="Times New Roman"/>
              </w:rPr>
              <w:t xml:space="preserve"> ir kt.</w:t>
            </w:r>
          </w:p>
        </w:tc>
      </w:tr>
      <w:tr w:rsidR="00C541BA" w:rsidRPr="003F255A" w:rsidTr="004F0926">
        <w:tc>
          <w:tcPr>
            <w:tcW w:w="549" w:type="dxa"/>
          </w:tcPr>
          <w:p w:rsidR="00C541BA" w:rsidRDefault="00C541BA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4413" w:type="dxa"/>
          </w:tcPr>
          <w:p w:rsidR="00C541BA" w:rsidRDefault="00C541BA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Nepriklausomų ekspertinių paslaugų techninei užduočiai paruošti paieška ir pirkimas </w:t>
            </w:r>
          </w:p>
        </w:tc>
        <w:tc>
          <w:tcPr>
            <w:tcW w:w="1276" w:type="dxa"/>
            <w:vMerge w:val="restart"/>
          </w:tcPr>
          <w:p w:rsidR="00C541BA" w:rsidRDefault="00C541BA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Vykdoma</w:t>
            </w:r>
          </w:p>
        </w:tc>
        <w:tc>
          <w:tcPr>
            <w:tcW w:w="1559" w:type="dxa"/>
            <w:vMerge w:val="restart"/>
          </w:tcPr>
          <w:p w:rsidR="00C541BA" w:rsidRPr="0094210B" w:rsidRDefault="00C541BA" w:rsidP="00085A9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90268">
              <w:rPr>
                <w:rFonts w:ascii="Times New Roman" w:hAnsi="Times New Roman"/>
                <w:color w:val="000000" w:themeColor="text1"/>
              </w:rPr>
              <w:t xml:space="preserve">Siekiant taupyti laiką, priemonės 4.4 ir 4.5 apjungtos. </w:t>
            </w:r>
          </w:p>
        </w:tc>
        <w:tc>
          <w:tcPr>
            <w:tcW w:w="7371" w:type="dxa"/>
            <w:vMerge w:val="restart"/>
          </w:tcPr>
          <w:p w:rsidR="00C541BA" w:rsidRPr="000141CC" w:rsidRDefault="00C541BA" w:rsidP="00033F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141CC">
              <w:rPr>
                <w:rFonts w:ascii="Times New Roman" w:hAnsi="Times New Roman"/>
                <w:color w:val="000000" w:themeColor="text1"/>
              </w:rPr>
              <w:t xml:space="preserve">Papildančios oro valymo sistemos principai paaiškės pabaigus viešojo pirkimo procedūras. </w:t>
            </w:r>
          </w:p>
          <w:p w:rsidR="000141CC" w:rsidRPr="000141CC" w:rsidRDefault="000141CC" w:rsidP="00033F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141CC">
              <w:rPr>
                <w:rFonts w:ascii="Times New Roman" w:hAnsi="Times New Roman"/>
                <w:color w:val="000000" w:themeColor="text1"/>
              </w:rPr>
              <w:t>2017-03-23 10 val. numatytas vokų su pasiūlymo kainomis plėšimas.</w:t>
            </w:r>
          </w:p>
          <w:p w:rsidR="00C541BA" w:rsidRDefault="006A238D" w:rsidP="006A23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2017-05-12 Perkančioji organizacija </w:t>
            </w:r>
            <w:r w:rsidRPr="006A238D">
              <w:rPr>
                <w:rFonts w:ascii="Times New Roman" w:hAnsi="Times New Roman"/>
                <w:color w:val="000000" w:themeColor="text1"/>
              </w:rPr>
              <w:t>atmetė vienintelį pasiūlymą dėl per didelės, Perkančiajai organizacijai nepriimtinos kainos.</w:t>
            </w:r>
            <w:r>
              <w:rPr>
                <w:rFonts w:ascii="Times New Roman" w:hAnsi="Times New Roman"/>
                <w:color w:val="000000" w:themeColor="text1"/>
              </w:rPr>
              <w:t xml:space="preserve"> V</w:t>
            </w:r>
            <w:r w:rsidRPr="006A238D">
              <w:rPr>
                <w:rFonts w:ascii="Times New Roman" w:hAnsi="Times New Roman"/>
                <w:color w:val="000000" w:themeColor="text1"/>
              </w:rPr>
              <w:t>adovaujantis LR VPĮ 7 str. 4 d. 2 p., pirkimas pasibaigė.</w:t>
            </w:r>
          </w:p>
          <w:p w:rsidR="006A238D" w:rsidRPr="000141CC" w:rsidRDefault="006A238D" w:rsidP="006A23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541BA" w:rsidRPr="0094210B" w:rsidRDefault="00254B5B" w:rsidP="00033F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</w:t>
            </w:r>
            <w:r w:rsidR="00033F68" w:rsidRPr="0094210B">
              <w:rPr>
                <w:rFonts w:ascii="Times New Roman" w:hAnsi="Times New Roman"/>
                <w:color w:val="000000" w:themeColor="text1"/>
              </w:rPr>
              <w:t>ykdomas</w:t>
            </w:r>
            <w:r w:rsidR="00C541BA" w:rsidRPr="0094210B">
              <w:rPr>
                <w:rFonts w:ascii="Times New Roman" w:hAnsi="Times New Roman"/>
                <w:color w:val="000000" w:themeColor="text1"/>
              </w:rPr>
              <w:t xml:space="preserve"> kamino išvalyto oro išleidimui į aplinką </w:t>
            </w:r>
            <w:r w:rsidR="00033F68" w:rsidRPr="0094210B">
              <w:rPr>
                <w:rFonts w:ascii="Times New Roman" w:hAnsi="Times New Roman"/>
                <w:color w:val="000000" w:themeColor="text1"/>
              </w:rPr>
              <w:t>Kauno MBA gamykloje projektavimas</w:t>
            </w:r>
            <w:r w:rsidR="006A238D">
              <w:rPr>
                <w:rFonts w:ascii="Times New Roman" w:hAnsi="Times New Roman"/>
                <w:color w:val="000000" w:themeColor="text1"/>
              </w:rPr>
              <w:t xml:space="preserve"> ir statyba</w:t>
            </w:r>
            <w:r w:rsidR="00AF12A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541BA" w:rsidRDefault="00C541BA" w:rsidP="00033F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210B">
              <w:rPr>
                <w:rFonts w:ascii="Times New Roman" w:hAnsi="Times New Roman"/>
                <w:color w:val="000000" w:themeColor="text1"/>
              </w:rPr>
              <w:t>2017 m. vasario 2</w:t>
            </w:r>
            <w:r w:rsidR="00802804" w:rsidRPr="0094210B">
              <w:rPr>
                <w:rFonts w:ascii="Times New Roman" w:hAnsi="Times New Roman"/>
                <w:color w:val="000000" w:themeColor="text1"/>
              </w:rPr>
              <w:t>0</w:t>
            </w:r>
            <w:r w:rsidRPr="0094210B">
              <w:rPr>
                <w:rFonts w:ascii="Times New Roman" w:hAnsi="Times New Roman"/>
                <w:color w:val="000000" w:themeColor="text1"/>
              </w:rPr>
              <w:t xml:space="preserve"> d. pasirašyta projektavimo sutartis su UAB „</w:t>
            </w:r>
            <w:proofErr w:type="spellStart"/>
            <w:r w:rsidRPr="0094210B">
              <w:rPr>
                <w:rFonts w:ascii="Times New Roman" w:hAnsi="Times New Roman"/>
                <w:color w:val="000000" w:themeColor="text1"/>
              </w:rPr>
              <w:t>Ugira</w:t>
            </w:r>
            <w:proofErr w:type="spellEnd"/>
            <w:r w:rsidRPr="0094210B">
              <w:rPr>
                <w:rFonts w:ascii="Times New Roman" w:hAnsi="Times New Roman"/>
                <w:color w:val="000000" w:themeColor="text1"/>
              </w:rPr>
              <w:t>“.</w:t>
            </w:r>
          </w:p>
          <w:p w:rsidR="006A238D" w:rsidRDefault="006A238D" w:rsidP="00033F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2017 m. </w:t>
            </w:r>
            <w:r w:rsidR="00AB38DE">
              <w:rPr>
                <w:rFonts w:ascii="Times New Roman" w:hAnsi="Times New Roman"/>
                <w:color w:val="000000" w:themeColor="text1"/>
              </w:rPr>
              <w:t xml:space="preserve">birželio 14 d. atlikta bendroji projekto ekspertizė. </w:t>
            </w:r>
          </w:p>
          <w:p w:rsidR="00AB38DE" w:rsidRDefault="00AB38DE" w:rsidP="00033F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m. birželio 15 d. patalpintas „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Infostatyba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“ statybos </w:t>
            </w:r>
            <w:r w:rsidR="007420BE">
              <w:rPr>
                <w:rFonts w:ascii="Times New Roman" w:hAnsi="Times New Roman"/>
                <w:color w:val="000000" w:themeColor="text1"/>
              </w:rPr>
              <w:t>leidimui gauti.</w:t>
            </w:r>
          </w:p>
          <w:p w:rsidR="00AF12A6" w:rsidRDefault="00485839" w:rsidP="00033F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m. birželio 21 d. paskelbtas viešasis pirkimas „</w:t>
            </w:r>
            <w:r w:rsidRPr="00485839">
              <w:rPr>
                <w:rFonts w:ascii="Times New Roman" w:hAnsi="Times New Roman"/>
                <w:color w:val="000000" w:themeColor="text1"/>
              </w:rPr>
              <w:t>Kamino išvalyto oro išleidimui į aplinką Kauno mechaninio biologinio atliekų apdorojimo gamykloje statybos darbų pirkimas</w:t>
            </w:r>
            <w:r w:rsidR="007D60F0">
              <w:rPr>
                <w:rFonts w:ascii="Times New Roman" w:hAnsi="Times New Roman"/>
                <w:color w:val="000000" w:themeColor="text1"/>
              </w:rPr>
              <w:t>“. Vokų plėšimas numatytas 2017-07-07.</w:t>
            </w:r>
          </w:p>
          <w:p w:rsidR="00254B5B" w:rsidRDefault="00254B5B" w:rsidP="00254B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m. rugpjūčio mėn. projektas</w:t>
            </w:r>
            <w:r w:rsidR="00797013">
              <w:rPr>
                <w:rFonts w:ascii="Times New Roman" w:hAnsi="Times New Roman"/>
                <w:color w:val="000000" w:themeColor="text1"/>
              </w:rPr>
              <w:t xml:space="preserve"> į IS Infostatyba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 xml:space="preserve"> bus teikiamas pakartotinai atsakius į derinančių institucijų pastabas.</w:t>
            </w:r>
          </w:p>
          <w:p w:rsidR="00254B5B" w:rsidRPr="007D60F0" w:rsidRDefault="00254B5B" w:rsidP="00254B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2017 m. rugpjūčio 2 d., nepasirašius rangos sutarties po pirmojo konkurso (vienintelis tiekėjas pateikė pasiūlymo sąlygų neatitinkantį pasiūlymą), </w:t>
            </w:r>
            <w:r>
              <w:rPr>
                <w:rFonts w:ascii="Times New Roman" w:hAnsi="Times New Roman"/>
                <w:color w:val="000000" w:themeColor="text1"/>
              </w:rPr>
              <w:t>paskelbtas viešasis pirkimas „</w:t>
            </w:r>
            <w:r w:rsidRPr="00485839">
              <w:rPr>
                <w:rFonts w:ascii="Times New Roman" w:hAnsi="Times New Roman"/>
                <w:color w:val="000000" w:themeColor="text1"/>
              </w:rPr>
              <w:t>Kamino išvalyto oro išleidimui į aplinką Kauno mechaninio biologinio atliekų apdorojimo gamykloje statybos darbų pirkimas</w:t>
            </w:r>
            <w:r>
              <w:rPr>
                <w:rFonts w:ascii="Times New Roman" w:hAnsi="Times New Roman"/>
                <w:color w:val="000000" w:themeColor="text1"/>
              </w:rPr>
              <w:t>“. Vokų plėšimas numatytas 2017-0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C541BA" w:rsidRPr="003F255A" w:rsidTr="004F0926">
        <w:tc>
          <w:tcPr>
            <w:tcW w:w="549" w:type="dxa"/>
          </w:tcPr>
          <w:p w:rsidR="00C541BA" w:rsidRDefault="00C541BA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4413" w:type="dxa"/>
          </w:tcPr>
          <w:p w:rsidR="00C541BA" w:rsidRDefault="00C541BA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Papildomų kvapų mažinimo techninių sprendinių diegimo paslaugų pirkimas</w:t>
            </w:r>
          </w:p>
        </w:tc>
        <w:tc>
          <w:tcPr>
            <w:tcW w:w="1276" w:type="dxa"/>
            <w:vMerge/>
          </w:tcPr>
          <w:p w:rsidR="00C541BA" w:rsidRDefault="00C541BA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541BA" w:rsidRPr="00663048" w:rsidRDefault="00C541BA" w:rsidP="007E48D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1" w:type="dxa"/>
            <w:vMerge/>
          </w:tcPr>
          <w:p w:rsidR="00C541BA" w:rsidRDefault="00C541BA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13" w:rsidRPr="003F255A" w:rsidTr="004F0926">
        <w:tc>
          <w:tcPr>
            <w:tcW w:w="549" w:type="dxa"/>
          </w:tcPr>
          <w:p w:rsidR="00F66A13" w:rsidRDefault="00F66A13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4413" w:type="dxa"/>
          </w:tcPr>
          <w:p w:rsidR="00F66A13" w:rsidRDefault="00F66A13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Aplinkosaugos vadybos sistemos (ISO arba EMAS) diegimas</w:t>
            </w:r>
          </w:p>
        </w:tc>
        <w:tc>
          <w:tcPr>
            <w:tcW w:w="1276" w:type="dxa"/>
          </w:tcPr>
          <w:p w:rsidR="00F66A13" w:rsidRPr="00F66A13" w:rsidRDefault="00F66A13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6A13" w:rsidRPr="00F66A13" w:rsidRDefault="00F66A13" w:rsidP="007E48D0">
            <w:pPr>
              <w:spacing w:after="0" w:line="240" w:lineRule="auto"/>
              <w:rPr>
                <w:rFonts w:ascii="Times New Roman" w:hAnsi="Times New Roman"/>
              </w:rPr>
            </w:pPr>
            <w:r w:rsidRPr="00F66A13">
              <w:rPr>
                <w:rFonts w:ascii="Times New Roman" w:hAnsi="Times New Roman"/>
              </w:rPr>
              <w:t>Priemonė nebus vykdoma</w:t>
            </w:r>
          </w:p>
        </w:tc>
        <w:tc>
          <w:tcPr>
            <w:tcW w:w="7371" w:type="dxa"/>
          </w:tcPr>
          <w:p w:rsidR="00F66A13" w:rsidRDefault="00F66A13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Priemonei vykdyti nebuvo skirta lėšų.</w:t>
            </w:r>
          </w:p>
        </w:tc>
      </w:tr>
      <w:tr w:rsidR="008235AE" w:rsidRPr="003F255A" w:rsidTr="008366FA">
        <w:tc>
          <w:tcPr>
            <w:tcW w:w="15168" w:type="dxa"/>
            <w:gridSpan w:val="5"/>
            <w:shd w:val="clear" w:color="auto" w:fill="D9D9D9" w:themeFill="background1" w:themeFillShade="D9"/>
          </w:tcPr>
          <w:p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Visuomenės informavimas</w:t>
            </w:r>
          </w:p>
        </w:tc>
      </w:tr>
      <w:tr w:rsidR="004F0926" w:rsidRPr="003F255A" w:rsidTr="004F0926">
        <w:tc>
          <w:tcPr>
            <w:tcW w:w="549" w:type="dxa"/>
          </w:tcPr>
          <w:p w:rsidR="004F0926" w:rsidRDefault="004F0926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413" w:type="dxa"/>
          </w:tcPr>
          <w:p w:rsidR="004F0926" w:rsidRDefault="004F0926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Savalaikis visuomenės ir atsakingųjų institucijų informavimas apie įmonėje vykstančius procesus</w:t>
            </w:r>
          </w:p>
        </w:tc>
        <w:tc>
          <w:tcPr>
            <w:tcW w:w="1276" w:type="dxa"/>
          </w:tcPr>
          <w:p w:rsidR="004F0926" w:rsidRDefault="004F0926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Vykdoma</w:t>
            </w:r>
          </w:p>
        </w:tc>
        <w:tc>
          <w:tcPr>
            <w:tcW w:w="1559" w:type="dxa"/>
          </w:tcPr>
          <w:p w:rsidR="004F0926" w:rsidRDefault="004F0926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7371" w:type="dxa"/>
          </w:tcPr>
          <w:p w:rsidR="004F0926" w:rsidRDefault="004F0926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Aktuali informacija skelbiama įmonės tinklalapyje www.kaunoratc.lt</w:t>
            </w:r>
          </w:p>
        </w:tc>
      </w:tr>
    </w:tbl>
    <w:p w:rsidR="007E48D0" w:rsidRDefault="007E48D0" w:rsidP="00F831E1">
      <w:pPr>
        <w:rPr>
          <w:rFonts w:ascii="Times New Roman" w:hAnsi="Times New Roman"/>
          <w:sz w:val="12"/>
          <w:szCs w:val="12"/>
        </w:rPr>
      </w:pPr>
    </w:p>
    <w:p w:rsidR="004D289E" w:rsidRDefault="004D289E" w:rsidP="00F831E1">
      <w:pPr>
        <w:rPr>
          <w:rFonts w:ascii="Times New Roman" w:hAnsi="Times New Roman"/>
          <w:sz w:val="12"/>
          <w:szCs w:val="12"/>
        </w:rPr>
      </w:pPr>
    </w:p>
    <w:sectPr w:rsidR="004D289E" w:rsidSect="00DA365A">
      <w:pgSz w:w="16838" w:h="11906" w:orient="landscape"/>
      <w:pgMar w:top="1134" w:right="962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E2315"/>
    <w:multiLevelType w:val="hybridMultilevel"/>
    <w:tmpl w:val="6344B054"/>
    <w:lvl w:ilvl="0" w:tplc="6570E8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B5"/>
    <w:rsid w:val="000141CC"/>
    <w:rsid w:val="000161D5"/>
    <w:rsid w:val="00021EE5"/>
    <w:rsid w:val="00024745"/>
    <w:rsid w:val="0002617C"/>
    <w:rsid w:val="00033F68"/>
    <w:rsid w:val="00085A9A"/>
    <w:rsid w:val="00090268"/>
    <w:rsid w:val="00121271"/>
    <w:rsid w:val="001536D2"/>
    <w:rsid w:val="00234261"/>
    <w:rsid w:val="002471E7"/>
    <w:rsid w:val="00254B5B"/>
    <w:rsid w:val="002723D9"/>
    <w:rsid w:val="002B6364"/>
    <w:rsid w:val="002F6350"/>
    <w:rsid w:val="003241C5"/>
    <w:rsid w:val="003639C0"/>
    <w:rsid w:val="00393B52"/>
    <w:rsid w:val="003D5E22"/>
    <w:rsid w:val="003F255A"/>
    <w:rsid w:val="00404A5D"/>
    <w:rsid w:val="00427A9A"/>
    <w:rsid w:val="00472190"/>
    <w:rsid w:val="00485839"/>
    <w:rsid w:val="0049234F"/>
    <w:rsid w:val="004D0346"/>
    <w:rsid w:val="004D289E"/>
    <w:rsid w:val="004F0926"/>
    <w:rsid w:val="004F461E"/>
    <w:rsid w:val="005002F6"/>
    <w:rsid w:val="00521947"/>
    <w:rsid w:val="00522219"/>
    <w:rsid w:val="00557FB8"/>
    <w:rsid w:val="00593FC5"/>
    <w:rsid w:val="005A19A4"/>
    <w:rsid w:val="005B5EB5"/>
    <w:rsid w:val="006007DF"/>
    <w:rsid w:val="006033D2"/>
    <w:rsid w:val="00631798"/>
    <w:rsid w:val="00663048"/>
    <w:rsid w:val="00692984"/>
    <w:rsid w:val="006A238D"/>
    <w:rsid w:val="00712F7A"/>
    <w:rsid w:val="007420BE"/>
    <w:rsid w:val="007479DE"/>
    <w:rsid w:val="00760BB2"/>
    <w:rsid w:val="00761699"/>
    <w:rsid w:val="00797013"/>
    <w:rsid w:val="007A5B35"/>
    <w:rsid w:val="007D60F0"/>
    <w:rsid w:val="007E48D0"/>
    <w:rsid w:val="007F29C8"/>
    <w:rsid w:val="007F54B7"/>
    <w:rsid w:val="00802804"/>
    <w:rsid w:val="008235AE"/>
    <w:rsid w:val="00830B7F"/>
    <w:rsid w:val="008366FA"/>
    <w:rsid w:val="00846563"/>
    <w:rsid w:val="00874580"/>
    <w:rsid w:val="0087541F"/>
    <w:rsid w:val="00890F33"/>
    <w:rsid w:val="009007A4"/>
    <w:rsid w:val="009200F8"/>
    <w:rsid w:val="00933D3C"/>
    <w:rsid w:val="0094210B"/>
    <w:rsid w:val="00A1041D"/>
    <w:rsid w:val="00A15CE1"/>
    <w:rsid w:val="00A15F42"/>
    <w:rsid w:val="00A2213C"/>
    <w:rsid w:val="00A72A09"/>
    <w:rsid w:val="00AB38DE"/>
    <w:rsid w:val="00AE3ECA"/>
    <w:rsid w:val="00AF12A6"/>
    <w:rsid w:val="00B42E25"/>
    <w:rsid w:val="00C13425"/>
    <w:rsid w:val="00C47EEE"/>
    <w:rsid w:val="00C541BA"/>
    <w:rsid w:val="00C65398"/>
    <w:rsid w:val="00C73900"/>
    <w:rsid w:val="00C7533F"/>
    <w:rsid w:val="00CA24C4"/>
    <w:rsid w:val="00CF69AD"/>
    <w:rsid w:val="00D34EDF"/>
    <w:rsid w:val="00D46F5A"/>
    <w:rsid w:val="00D52E2F"/>
    <w:rsid w:val="00D659AC"/>
    <w:rsid w:val="00D776B8"/>
    <w:rsid w:val="00DA365A"/>
    <w:rsid w:val="00DB6864"/>
    <w:rsid w:val="00E70E6A"/>
    <w:rsid w:val="00E811C3"/>
    <w:rsid w:val="00E9024F"/>
    <w:rsid w:val="00E91BB4"/>
    <w:rsid w:val="00E955F9"/>
    <w:rsid w:val="00EA0E49"/>
    <w:rsid w:val="00EA2561"/>
    <w:rsid w:val="00EB16C7"/>
    <w:rsid w:val="00EF788E"/>
    <w:rsid w:val="00F174D1"/>
    <w:rsid w:val="00F3626D"/>
    <w:rsid w:val="00F52F95"/>
    <w:rsid w:val="00F55877"/>
    <w:rsid w:val="00F55BBD"/>
    <w:rsid w:val="00F66A13"/>
    <w:rsid w:val="00F831E1"/>
    <w:rsid w:val="00F86D20"/>
    <w:rsid w:val="00FA2E2C"/>
    <w:rsid w:val="00FC1359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FA5EA-E8CC-4A5C-94E3-D046DDE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48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8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1798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21EE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61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unorat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17FA-CE75-42C6-9103-EA1E567E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4512</Words>
  <Characters>2573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2017-03-22T13:34:00Z</cp:lastPrinted>
  <dcterms:created xsi:type="dcterms:W3CDTF">2017-08-11T08:12:00Z</dcterms:created>
  <dcterms:modified xsi:type="dcterms:W3CDTF">2017-08-11T08:20:00Z</dcterms:modified>
</cp:coreProperties>
</file>